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A141A">
      <w:pPr>
        <w:rPr>
          <w:rFonts w:ascii="Tahoma" w:hAnsi="Tahoma" w:cs="Tahoma"/>
          <w:i/>
          <w:iCs/>
          <w:spacing w:val="-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7.15pt;margin-top:2.05pt;width:419.2pt;height:109.5pt;z-index:251657728;mso-wrap-distance-left:9.05pt;mso-wrap-distance-right:9.05pt" stroked="f">
            <v:fill color2="black"/>
            <v:textbox inset="0,0,0,0">
              <w:txbxContent>
                <w:p w:rsidR="00000000" w:rsidRDefault="00FA141A">
                  <w:pPr>
                    <w:pStyle w:val="Ttulo8"/>
                    <w:numPr>
                      <w:ilvl w:val="0"/>
                      <w:numId w:val="0"/>
                    </w:numPr>
                    <w:spacing w:line="0" w:lineRule="atLeast"/>
                    <w:ind w:left="-45"/>
                    <w:rPr>
                      <w:rFonts w:ascii="Georgia" w:hAnsi="Georgia"/>
                      <w:i/>
                      <w:shadow/>
                      <w:szCs w:val="36"/>
                    </w:rPr>
                  </w:pPr>
                  <w:r>
                    <w:rPr>
                      <w:rFonts w:ascii="Georgia" w:hAnsi="Georgia"/>
                      <w:bCs/>
                      <w:i/>
                      <w:shadow/>
                      <w:spacing w:val="60"/>
                      <w:szCs w:val="36"/>
                    </w:rPr>
                    <w:t>UNION LOCALE</w:t>
                  </w:r>
                </w:p>
                <w:p w:rsidR="00000000" w:rsidRDefault="00FA141A">
                  <w:pPr>
                    <w:pStyle w:val="Ttulo8"/>
                    <w:numPr>
                      <w:ilvl w:val="0"/>
                      <w:numId w:val="0"/>
                    </w:numPr>
                    <w:spacing w:line="0" w:lineRule="atLeast"/>
                    <w:ind w:left="-45"/>
                    <w:rPr>
                      <w:rFonts w:ascii="Georgia" w:hAnsi="Georgia"/>
                      <w:i/>
                      <w:shadow/>
                      <w:szCs w:val="36"/>
                    </w:rPr>
                  </w:pPr>
                  <w:r>
                    <w:rPr>
                      <w:rFonts w:ascii="Georgia" w:hAnsi="Georgia"/>
                      <w:b w:val="0"/>
                      <w:i/>
                      <w:shadow/>
                      <w:szCs w:val="36"/>
                    </w:rPr>
                    <w:t>des Syndicats</w:t>
                  </w:r>
                  <w:r>
                    <w:rPr>
                      <w:rFonts w:ascii="Georgia" w:hAnsi="Georgia"/>
                      <w:i/>
                      <w:shadow/>
                      <w:szCs w:val="36"/>
                    </w:rPr>
                    <w:t xml:space="preserve"> </w:t>
                  </w:r>
                  <w:r>
                    <w:rPr>
                      <w:rFonts w:ascii="Georgia" w:hAnsi="Georgia"/>
                      <w:i/>
                      <w:shadow/>
                      <w:spacing w:val="60"/>
                      <w:szCs w:val="36"/>
                    </w:rPr>
                    <w:t>CGT</w:t>
                  </w:r>
                  <w:r>
                    <w:rPr>
                      <w:rFonts w:ascii="Georgia" w:hAnsi="Georgia"/>
                      <w:i/>
                      <w:shadow/>
                      <w:szCs w:val="36"/>
                    </w:rPr>
                    <w:t xml:space="preserve"> </w:t>
                  </w:r>
                  <w:r>
                    <w:rPr>
                      <w:rFonts w:ascii="Georgia" w:hAnsi="Georgia"/>
                      <w:b w:val="0"/>
                      <w:i/>
                      <w:shadow/>
                      <w:szCs w:val="36"/>
                    </w:rPr>
                    <w:t>de</w:t>
                  </w:r>
                  <w:r>
                    <w:rPr>
                      <w:rFonts w:ascii="Georgia" w:hAnsi="Georgia"/>
                      <w:i/>
                      <w:shadow/>
                      <w:szCs w:val="36"/>
                    </w:rPr>
                    <w:t xml:space="preserve"> </w:t>
                  </w:r>
                  <w:r>
                    <w:rPr>
                      <w:rFonts w:ascii="Georgia" w:hAnsi="Georgia"/>
                      <w:b w:val="0"/>
                      <w:bCs/>
                      <w:i/>
                      <w:shadow/>
                      <w:szCs w:val="36"/>
                    </w:rPr>
                    <w:t>TOULOUSE</w:t>
                  </w:r>
                  <w:r>
                    <w:rPr>
                      <w:rFonts w:ascii="Georgia" w:hAnsi="Georgia"/>
                      <w:i/>
                      <w:shadow/>
                      <w:szCs w:val="36"/>
                    </w:rPr>
                    <w:t xml:space="preserve"> Sud</w:t>
                  </w:r>
                </w:p>
                <w:p w:rsidR="00000000" w:rsidRDefault="00FA141A">
                  <w:pPr>
                    <w:pStyle w:val="Ttulo8"/>
                    <w:numPr>
                      <w:ilvl w:val="0"/>
                      <w:numId w:val="0"/>
                    </w:numPr>
                    <w:ind w:left="-30"/>
                    <w:rPr>
                      <w:rFonts w:ascii="Times New Roman" w:hAnsi="Times New Roman"/>
                      <w:b w:val="0"/>
                      <w:shadow/>
                      <w:spacing w:val="1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 w:val="0"/>
                      <w:shadow/>
                      <w:spacing w:val="10"/>
                      <w:sz w:val="26"/>
                      <w:szCs w:val="26"/>
                    </w:rPr>
                    <w:t>2058 route de Baziège  «La Lauragaise»  3</w:t>
                  </w:r>
                  <w:r>
                    <w:rPr>
                      <w:rFonts w:ascii="Times New Roman" w:hAnsi="Times New Roman"/>
                      <w:b w:val="0"/>
                      <w:bCs/>
                      <w:shadow/>
                      <w:spacing w:val="10"/>
                      <w:sz w:val="26"/>
                      <w:szCs w:val="26"/>
                    </w:rPr>
                    <w:t>1670</w:t>
                  </w:r>
                  <w:r>
                    <w:rPr>
                      <w:rFonts w:ascii="Times New Roman" w:hAnsi="Times New Roman"/>
                      <w:b w:val="0"/>
                      <w:shadow/>
                      <w:spacing w:val="10"/>
                      <w:sz w:val="26"/>
                      <w:szCs w:val="26"/>
                    </w:rPr>
                    <w:t xml:space="preserve">  LABEGE</w:t>
                  </w:r>
                </w:p>
                <w:p w:rsidR="00000000" w:rsidRDefault="00FA141A">
                  <w:pPr>
                    <w:ind w:left="-30"/>
                    <w:jc w:val="center"/>
                    <w:rPr>
                      <w:rFonts w:eastAsia="Wingdings" w:cs="Wingdings"/>
                      <w:b/>
                      <w:bCs/>
                      <w:shadow/>
                    </w:rPr>
                  </w:pPr>
                  <w:r>
                    <w:rPr>
                      <w:rFonts w:ascii="Wingdings" w:eastAsia="Wingdings" w:hAnsi="Wingdings" w:cs="Wingdings"/>
                      <w:shadow/>
                    </w:rPr>
                    <w:t></w:t>
                  </w:r>
                  <w:r>
                    <w:rPr>
                      <w:rFonts w:eastAsia="Wingdings" w:cs="Wingdings"/>
                      <w:shadow/>
                    </w:rPr>
                    <w:t xml:space="preserve">  </w:t>
                  </w:r>
                  <w:r>
                    <w:rPr>
                      <w:rFonts w:eastAsia="Wingdings" w:cs="Wingdings"/>
                      <w:bCs/>
                      <w:shadow/>
                    </w:rPr>
                    <w:t xml:space="preserve">05 61 80 01 99   </w:t>
                  </w:r>
                  <w:r>
                    <w:rPr>
                      <w:rFonts w:eastAsia="Wingdings" w:cs="Wingdings"/>
                      <w:b/>
                      <w:bCs/>
                      <w:shadow/>
                    </w:rPr>
                    <w:t>Portable</w:t>
                  </w:r>
                  <w:r>
                    <w:rPr>
                      <w:rFonts w:eastAsia="Wingdings" w:cs="Wingdings"/>
                      <w:bCs/>
                      <w:shadow/>
                    </w:rPr>
                    <w:t xml:space="preserve">  06 75 10 59 17   </w:t>
                  </w:r>
                  <w:r>
                    <w:rPr>
                      <w:rFonts w:eastAsia="Wingdings" w:cs="Wingdings"/>
                      <w:b/>
                      <w:bCs/>
                      <w:shadow/>
                    </w:rPr>
                    <w:t xml:space="preserve"> Fax</w:t>
                  </w:r>
                  <w:r>
                    <w:rPr>
                      <w:rFonts w:eastAsia="Wingdings" w:cs="Wingdings"/>
                      <w:bCs/>
                      <w:shadow/>
                    </w:rPr>
                    <w:t xml:space="preserve">   05 61 20 16 68</w:t>
                  </w:r>
                </w:p>
                <w:p w:rsidR="00000000" w:rsidRDefault="00FA141A">
                  <w:pPr>
                    <w:ind w:left="-30"/>
                    <w:jc w:val="center"/>
                    <w:rPr>
                      <w:rFonts w:eastAsia="Wingdings" w:cs="Wingdings"/>
                      <w:b/>
                      <w:bCs/>
                      <w:shadow/>
                    </w:rPr>
                  </w:pPr>
                  <w:r>
                    <w:rPr>
                      <w:rFonts w:eastAsia="Wingdings" w:cs="Wingdings"/>
                      <w:b/>
                      <w:bCs/>
                      <w:shadow/>
                    </w:rPr>
                    <w:t xml:space="preserve">Courriel </w:t>
                  </w:r>
                  <w:r>
                    <w:rPr>
                      <w:rFonts w:eastAsia="Wingdings" w:cs="Wingdings"/>
                      <w:bCs/>
                      <w:shadow/>
                    </w:rPr>
                    <w:t>: ul-sud-tls-cgt @wanadoo.fr</w:t>
                  </w:r>
                </w:p>
                <w:p w:rsidR="00000000" w:rsidRDefault="00FA141A">
                  <w:pPr>
                    <w:spacing w:before="57"/>
                    <w:ind w:left="-30"/>
                    <w:jc w:val="center"/>
                    <w:rPr>
                      <w:rFonts w:ascii="Comic Sans MS" w:eastAsia="Wingdings" w:hAnsi="Comic Sans MS" w:cs="Wingdings"/>
                      <w:shadow/>
                      <w:sz w:val="18"/>
                      <w:szCs w:val="18"/>
                    </w:rPr>
                  </w:pPr>
                  <w:r>
                    <w:rPr>
                      <w:rFonts w:ascii="Comic Sans MS" w:eastAsia="Wingdings" w:hAnsi="Comic Sans MS" w:cs="Wingdings"/>
                      <w:shadow/>
                      <w:sz w:val="18"/>
                      <w:szCs w:val="18"/>
                    </w:rPr>
                    <w:t>Lundi au Jeudi 13h30 18h30  Vendredi 9h 12h   Permanence juridique  Jeudi 17h</w:t>
                  </w:r>
                </w:p>
                <w:p w:rsidR="00000000" w:rsidRDefault="00FA141A">
                  <w:pPr>
                    <w:jc w:val="center"/>
                    <w:rPr>
                      <w:rFonts w:cs="Arial"/>
                      <w:shadow/>
                      <w:color w:val="FF0000"/>
                      <w:sz w:val="16"/>
                      <w:szCs w:val="16"/>
                    </w:rPr>
                  </w:pPr>
                  <w:r>
                    <w:rPr>
                      <w:rFonts w:cs="Arial"/>
                      <w:shadow/>
                      <w:color w:val="FF0000"/>
                      <w:sz w:val="16"/>
                      <w:szCs w:val="16"/>
                    </w:rPr>
                    <w:t>-----------------------------------------------------------------------</w:t>
                  </w:r>
                  <w:r>
                    <w:rPr>
                      <w:rFonts w:cs="Arial"/>
                      <w:shadow/>
                      <w:color w:val="FF0000"/>
                      <w:sz w:val="16"/>
                      <w:szCs w:val="16"/>
                    </w:rPr>
                    <w:t>-------------------------------------------------------</w:t>
                  </w:r>
                </w:p>
              </w:txbxContent>
            </v:textbox>
          </v:shape>
        </w:pict>
      </w:r>
      <w:r w:rsidR="006F0FC1">
        <w:rPr>
          <w:rFonts w:ascii="Arial" w:hAnsi="Arial"/>
          <w:b/>
          <w:bCs/>
          <w:noProof/>
          <w:sz w:val="14"/>
          <w:szCs w:val="14"/>
          <w:lang w:val="pt-PT" w:eastAsia="pt-PT"/>
        </w:rPr>
        <w:drawing>
          <wp:inline distT="0" distB="0" distL="0" distR="0">
            <wp:extent cx="1238250" cy="14001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A141A">
      <w:pPr>
        <w:tabs>
          <w:tab w:val="left" w:pos="5655"/>
        </w:tabs>
        <w:spacing w:line="108" w:lineRule="atLeast"/>
        <w:jc w:val="right"/>
        <w:rPr>
          <w:rFonts w:ascii="Arial" w:eastAsia="Batang" w:hAnsi="Arial" w:cs="Arial"/>
          <w:iCs/>
          <w:spacing w:val="-6"/>
        </w:rPr>
      </w:pPr>
    </w:p>
    <w:p w:rsidR="00000000" w:rsidRDefault="00FA141A">
      <w:pPr>
        <w:tabs>
          <w:tab w:val="left" w:pos="5655"/>
        </w:tabs>
        <w:spacing w:line="108" w:lineRule="atLeast"/>
        <w:jc w:val="right"/>
        <w:rPr>
          <w:rFonts w:eastAsia="Batang"/>
          <w:iCs/>
          <w:spacing w:val="-6"/>
        </w:rPr>
      </w:pPr>
      <w:r>
        <w:rPr>
          <w:rFonts w:eastAsia="Batang"/>
          <w:iCs/>
          <w:spacing w:val="-6"/>
        </w:rPr>
        <w:t xml:space="preserve">Labège, le </w:t>
      </w:r>
      <w:r w:rsidR="006F0FC1">
        <w:rPr>
          <w:rFonts w:eastAsia="Batang"/>
          <w:iCs/>
          <w:spacing w:val="-6"/>
        </w:rPr>
        <w:t>8</w:t>
      </w:r>
      <w:r>
        <w:rPr>
          <w:rFonts w:eastAsia="Batang"/>
          <w:iCs/>
          <w:spacing w:val="-6"/>
        </w:rPr>
        <w:t xml:space="preserve"> février 2012</w:t>
      </w:r>
    </w:p>
    <w:p w:rsidR="00000000" w:rsidRDefault="00FA141A">
      <w:pPr>
        <w:tabs>
          <w:tab w:val="left" w:pos="5655"/>
        </w:tabs>
        <w:spacing w:line="108" w:lineRule="atLeast"/>
        <w:jc w:val="right"/>
        <w:rPr>
          <w:rFonts w:eastAsia="Batang"/>
          <w:b/>
        </w:rPr>
      </w:pPr>
    </w:p>
    <w:p w:rsidR="00000000" w:rsidRDefault="00FA141A">
      <w:pPr>
        <w:pStyle w:val="Ttulo9"/>
        <w:rPr>
          <w:b/>
          <w:bCs/>
        </w:rPr>
      </w:pPr>
      <w:r>
        <w:rPr>
          <w:b/>
          <w:bCs/>
        </w:rPr>
        <w:t>Le « Lock-out », nouvelle illustration</w:t>
      </w:r>
      <w:r>
        <w:rPr>
          <w:b/>
          <w:bCs/>
        </w:rPr>
        <w:br/>
        <w:t xml:space="preserve"> du dialogue social réellement existant à ProCME…</w:t>
      </w:r>
    </w:p>
    <w:p w:rsidR="00000000" w:rsidRPr="00B75FEC" w:rsidRDefault="00FA141A">
      <w:pPr>
        <w:rPr>
          <w:rFonts w:eastAsia="Batang"/>
          <w:sz w:val="16"/>
          <w:szCs w:val="16"/>
        </w:rPr>
      </w:pPr>
    </w:p>
    <w:p w:rsidR="00000000" w:rsidRDefault="00FA141A">
      <w:pPr>
        <w:jc w:val="both"/>
        <w:rPr>
          <w:rFonts w:eastAsia="Batang"/>
        </w:rPr>
      </w:pPr>
      <w:r w:rsidRPr="00B75FEC">
        <w:rPr>
          <w:rFonts w:eastAsia="Batang"/>
          <w:b/>
        </w:rPr>
        <w:t>Le lock-out</w:t>
      </w:r>
      <w:r>
        <w:rPr>
          <w:rFonts w:eastAsia="Batang"/>
        </w:rPr>
        <w:t xml:space="preserve"> d</w:t>
      </w:r>
      <w:r>
        <w:rPr>
          <w:rFonts w:eastAsia="Batang"/>
        </w:rPr>
        <w:t>ésigne un coup de force patronal, qui consiste à empêcher les salariés de travailler, les plaçant face à un dilemme ignoble : reprendre le travail quand le patron le souhaitera et comme il le voudra ou faire front collectivement face à l’arbitraire capital</w:t>
      </w:r>
      <w:r>
        <w:rPr>
          <w:rFonts w:eastAsia="Batang"/>
        </w:rPr>
        <w:t xml:space="preserve">iste, tout en risquant de perdre son moyen de subsistance. </w:t>
      </w:r>
      <w:r>
        <w:rPr>
          <w:rFonts w:eastAsia="Batang"/>
        </w:rPr>
        <w:t>Cette pratique est une des armes répressives les plus anciennes à la dispo</w:t>
      </w:r>
      <w:r>
        <w:rPr>
          <w:rFonts w:eastAsia="Batang"/>
        </w:rPr>
        <w:t xml:space="preserve">sition des patrons dans la </w:t>
      </w:r>
      <w:r w:rsidR="00B75FEC">
        <w:rPr>
          <w:rFonts w:eastAsia="Batang"/>
        </w:rPr>
        <w:t>lutte</w:t>
      </w:r>
      <w:r>
        <w:rPr>
          <w:rFonts w:eastAsia="Batang"/>
        </w:rPr>
        <w:t xml:space="preserve"> des classes. Même si elle est désormais le plus souvent considérée comme irrégulière (Procès Molex en 2009), elle peut inspirer d’autres subterfuges analogues…Le conflit opposant plus de 100 salariés portugais à la multina</w:t>
      </w:r>
      <w:r>
        <w:rPr>
          <w:rFonts w:eastAsia="Batang"/>
        </w:rPr>
        <w:t>tionale ProCME dans le sud de la France en constitue un nouvel exemple…</w:t>
      </w:r>
    </w:p>
    <w:p w:rsidR="00000000" w:rsidRPr="00B75FEC" w:rsidRDefault="00FA141A">
      <w:pPr>
        <w:pStyle w:val="Index"/>
        <w:suppressLineNumbers w:val="0"/>
        <w:rPr>
          <w:rFonts w:eastAsia="Batang" w:cs="Times New Roman"/>
          <w:sz w:val="16"/>
          <w:szCs w:val="16"/>
        </w:rPr>
      </w:pPr>
    </w:p>
    <w:p w:rsidR="00000000" w:rsidRDefault="00FA141A">
      <w:pPr>
        <w:rPr>
          <w:rFonts w:eastAsia="Batang"/>
          <w:b/>
          <w:bCs/>
          <w:sz w:val="28"/>
          <w:szCs w:val="28"/>
        </w:rPr>
      </w:pPr>
      <w:r w:rsidRPr="00B75FEC">
        <w:rPr>
          <w:rFonts w:eastAsia="Batang"/>
          <w:b/>
          <w:bCs/>
          <w:sz w:val="28"/>
          <w:szCs w:val="28"/>
        </w:rPr>
        <w:t xml:space="preserve">Petit rappel des faits : </w:t>
      </w:r>
    </w:p>
    <w:p w:rsidR="00B75FEC" w:rsidRPr="00B75FEC" w:rsidRDefault="00B75FEC">
      <w:pPr>
        <w:rPr>
          <w:rFonts w:eastAsia="Batang"/>
          <w:b/>
          <w:bCs/>
          <w:sz w:val="16"/>
          <w:szCs w:val="16"/>
        </w:rPr>
      </w:pPr>
    </w:p>
    <w:p w:rsidR="00000000" w:rsidRDefault="00FA141A">
      <w:pPr>
        <w:tabs>
          <w:tab w:val="left" w:pos="5655"/>
        </w:tabs>
        <w:spacing w:line="164" w:lineRule="atLeast"/>
        <w:jc w:val="both"/>
        <w:rPr>
          <w:rFonts w:eastAsia="Batang"/>
        </w:rPr>
      </w:pPr>
      <w:r>
        <w:rPr>
          <w:rFonts w:eastAsia="Batang"/>
        </w:rPr>
        <w:t xml:space="preserve">Suite à une rencontre d’une délégation des grévistes avec Mme Souliman, secrétaire général de la Préfecture de Haute Garonne, l´Assemblée Générale </w:t>
      </w:r>
      <w:r w:rsidR="00B75FEC">
        <w:rPr>
          <w:rFonts w:eastAsia="Batang"/>
        </w:rPr>
        <w:t xml:space="preserve">des grévistes </w:t>
      </w:r>
      <w:r>
        <w:rPr>
          <w:rFonts w:eastAsia="Batang"/>
        </w:rPr>
        <w:t>a approuvé</w:t>
      </w:r>
      <w:r>
        <w:rPr>
          <w:rFonts w:eastAsia="Batang"/>
        </w:rPr>
        <w:t xml:space="preserve"> les termes de l´accord proposé par le représentant ProCME en France, sous </w:t>
      </w:r>
      <w:r>
        <w:rPr>
          <w:rFonts w:eastAsia="Batang"/>
          <w:i/>
          <w:iCs/>
        </w:rPr>
        <w:t>« contrôle »</w:t>
      </w:r>
      <w:r>
        <w:rPr>
          <w:rFonts w:eastAsia="Batang"/>
        </w:rPr>
        <w:t xml:space="preserve"> de l’Etat français.</w:t>
      </w:r>
    </w:p>
    <w:p w:rsidR="00000000" w:rsidRPr="00B75FEC" w:rsidRDefault="00FA141A">
      <w:pPr>
        <w:tabs>
          <w:tab w:val="left" w:pos="5655"/>
        </w:tabs>
        <w:spacing w:line="164" w:lineRule="atLeast"/>
        <w:jc w:val="both"/>
        <w:rPr>
          <w:rFonts w:eastAsia="Batang"/>
          <w:sz w:val="16"/>
          <w:szCs w:val="16"/>
        </w:rPr>
      </w:pPr>
    </w:p>
    <w:p w:rsidR="00000000" w:rsidRDefault="00FA141A">
      <w:pPr>
        <w:tabs>
          <w:tab w:val="left" w:pos="5655"/>
        </w:tabs>
        <w:spacing w:line="164" w:lineRule="atLeast"/>
        <w:jc w:val="both"/>
        <w:rPr>
          <w:rFonts w:eastAsia="Batang"/>
        </w:rPr>
      </w:pPr>
      <w:r>
        <w:rPr>
          <w:rFonts w:eastAsia="Batang"/>
        </w:rPr>
        <w:t xml:space="preserve">Les grévistes étaient prêts à reprendre le travail dès le vendredi matin, dès que l’accord de fin de conflit serait signé….Mauvaise surprise : les </w:t>
      </w:r>
      <w:r>
        <w:rPr>
          <w:rFonts w:eastAsia="Batang"/>
        </w:rPr>
        <w:t xml:space="preserve">portables des patrons de ProCME sonnaient dans le vide </w:t>
      </w:r>
    </w:p>
    <w:p w:rsidR="00000000" w:rsidRDefault="00FA141A">
      <w:pPr>
        <w:tabs>
          <w:tab w:val="left" w:pos="5655"/>
        </w:tabs>
        <w:spacing w:line="164" w:lineRule="atLeast"/>
        <w:jc w:val="both"/>
        <w:rPr>
          <w:rFonts w:eastAsia="Batang"/>
        </w:rPr>
      </w:pPr>
      <w:r>
        <w:rPr>
          <w:rFonts w:eastAsia="Batang"/>
        </w:rPr>
        <w:t xml:space="preserve">Les ouvriers étant habitués aux mensonges de leur direction, ils furent moyennement étonnés par cette nouvelle, la plupart d’entre eux restaient toutefois songeur face </w:t>
      </w:r>
      <w:r w:rsidR="006F0FC1">
        <w:rPr>
          <w:rFonts w:eastAsia="Batang"/>
        </w:rPr>
        <w:t>à cet affront</w:t>
      </w:r>
      <w:r>
        <w:rPr>
          <w:rFonts w:eastAsia="Batang"/>
        </w:rPr>
        <w:t xml:space="preserve"> que représenta</w:t>
      </w:r>
      <w:r>
        <w:rPr>
          <w:rFonts w:eastAsia="Batang"/>
        </w:rPr>
        <w:t>it pour l’Etat français, ce refus de M.Reis Costa</w:t>
      </w:r>
      <w:r w:rsidR="00B75FEC">
        <w:rPr>
          <w:rFonts w:eastAsia="Batang"/>
        </w:rPr>
        <w:t xml:space="preserve"> (patron du groupe portugais)</w:t>
      </w:r>
      <w:r>
        <w:rPr>
          <w:rFonts w:eastAsia="Batang"/>
        </w:rPr>
        <w:t xml:space="preserve"> de tenir la parole donnée…</w:t>
      </w:r>
    </w:p>
    <w:p w:rsidR="00000000" w:rsidRPr="00B75FEC" w:rsidRDefault="00FA141A">
      <w:pPr>
        <w:tabs>
          <w:tab w:val="left" w:pos="5655"/>
        </w:tabs>
        <w:spacing w:line="164" w:lineRule="atLeast"/>
        <w:jc w:val="both"/>
        <w:rPr>
          <w:rFonts w:eastAsia="Batang"/>
          <w:sz w:val="16"/>
          <w:szCs w:val="16"/>
        </w:rPr>
      </w:pPr>
    </w:p>
    <w:p w:rsidR="00000000" w:rsidRDefault="00FA141A">
      <w:pPr>
        <w:tabs>
          <w:tab w:val="left" w:pos="5655"/>
        </w:tabs>
        <w:spacing w:line="164" w:lineRule="atLeast"/>
        <w:jc w:val="both"/>
        <w:rPr>
          <w:rFonts w:eastAsia="Batang"/>
        </w:rPr>
      </w:pPr>
      <w:r>
        <w:rPr>
          <w:rFonts w:eastAsia="Batang"/>
        </w:rPr>
        <w:t>Face à l’absence d’interlocuteur</w:t>
      </w:r>
      <w:r w:rsidR="00B75FEC">
        <w:rPr>
          <w:rFonts w:eastAsia="Batang"/>
        </w:rPr>
        <w:t>s</w:t>
      </w:r>
      <w:r>
        <w:rPr>
          <w:rFonts w:eastAsia="Batang"/>
        </w:rPr>
        <w:t xml:space="preserve"> et compte tenu du fait que tous les moyens mis à la disposition des salariés de ProCME (tant pour les grévistes que pour les non-grévistes) pour </w:t>
      </w:r>
      <w:r>
        <w:rPr>
          <w:rFonts w:eastAsia="Batang"/>
        </w:rPr>
        <w:t xml:space="preserve">se déplacer avaient été supprimés dès lundi, les salariés en lutte décidèrent de rester sur place, d’occuper l’entreprise (vide) et d’attendre des nouvelles. Pour la CGT, le </w:t>
      </w:r>
      <w:r>
        <w:rPr>
          <w:rFonts w:eastAsia="Batang"/>
          <w:i/>
        </w:rPr>
        <w:t>« lock-out »</w:t>
      </w:r>
      <w:r>
        <w:rPr>
          <w:rFonts w:eastAsia="Batang"/>
        </w:rPr>
        <w:t xml:space="preserve"> ainsi créé est manifestement irrégulier et ne résulte pas d´agissemen</w:t>
      </w:r>
      <w:r>
        <w:rPr>
          <w:rFonts w:eastAsia="Batang"/>
        </w:rPr>
        <w:t>ts illicites de notre part comme ont pu le constater les agents des forces de l´ordre, venus visiter le piquet de grève. Nous demandons donc solennellement aux représentants de l’Etat et du Ministère du Travail en Haute Garonne de requalifier ce conflit de</w:t>
      </w:r>
      <w:r>
        <w:rPr>
          <w:rFonts w:eastAsia="Batang"/>
        </w:rPr>
        <w:t xml:space="preserve"> </w:t>
      </w:r>
      <w:r>
        <w:rPr>
          <w:rFonts w:eastAsia="Batang"/>
          <w:i/>
        </w:rPr>
        <w:t>« grève »</w:t>
      </w:r>
      <w:r>
        <w:rPr>
          <w:rFonts w:eastAsia="Batang"/>
        </w:rPr>
        <w:t xml:space="preserve"> en </w:t>
      </w:r>
      <w:r>
        <w:rPr>
          <w:rFonts w:eastAsia="Batang"/>
          <w:i/>
        </w:rPr>
        <w:t>« lock-out »</w:t>
      </w:r>
      <w:r>
        <w:rPr>
          <w:rFonts w:eastAsia="Batang"/>
        </w:rPr>
        <w:t xml:space="preserve"> e</w:t>
      </w:r>
      <w:r w:rsidR="00B75FEC">
        <w:rPr>
          <w:rFonts w:eastAsia="Batang"/>
        </w:rPr>
        <w:t>t ce dès le vendredi 3 février.</w:t>
      </w:r>
    </w:p>
    <w:p w:rsidR="00B75FEC" w:rsidRPr="00B75FEC" w:rsidRDefault="00B75FEC">
      <w:pPr>
        <w:tabs>
          <w:tab w:val="left" w:pos="5655"/>
        </w:tabs>
        <w:spacing w:line="164" w:lineRule="atLeast"/>
        <w:jc w:val="both"/>
        <w:rPr>
          <w:rFonts w:eastAsia="Batang"/>
          <w:sz w:val="16"/>
          <w:szCs w:val="16"/>
        </w:rPr>
      </w:pPr>
    </w:p>
    <w:p w:rsidR="00B75FEC" w:rsidRPr="00B75FEC" w:rsidRDefault="00B75FEC">
      <w:pPr>
        <w:tabs>
          <w:tab w:val="left" w:pos="5655"/>
        </w:tabs>
        <w:spacing w:line="164" w:lineRule="atLeast"/>
        <w:jc w:val="both"/>
        <w:rPr>
          <w:rFonts w:eastAsia="Batang"/>
          <w:b/>
          <w:sz w:val="28"/>
          <w:szCs w:val="28"/>
        </w:rPr>
      </w:pPr>
      <w:r w:rsidRPr="00B75FEC">
        <w:rPr>
          <w:rFonts w:eastAsia="Batang"/>
          <w:b/>
          <w:sz w:val="28"/>
          <w:szCs w:val="28"/>
        </w:rPr>
        <w:t xml:space="preserve">Dernières nouvelles : </w:t>
      </w:r>
    </w:p>
    <w:p w:rsidR="00000000" w:rsidRPr="00B75FEC" w:rsidRDefault="00FA141A">
      <w:pPr>
        <w:tabs>
          <w:tab w:val="left" w:pos="5655"/>
        </w:tabs>
        <w:spacing w:line="164" w:lineRule="atLeast"/>
        <w:jc w:val="both"/>
        <w:rPr>
          <w:rFonts w:eastAsia="Batang"/>
          <w:sz w:val="16"/>
          <w:szCs w:val="16"/>
        </w:rPr>
      </w:pPr>
    </w:p>
    <w:p w:rsidR="00B75FEC" w:rsidRDefault="00B75FEC">
      <w:pPr>
        <w:tabs>
          <w:tab w:val="left" w:pos="5655"/>
        </w:tabs>
        <w:spacing w:line="164" w:lineRule="atLeast"/>
        <w:jc w:val="both"/>
        <w:rPr>
          <w:rFonts w:eastAsia="Batang"/>
        </w:rPr>
      </w:pPr>
      <w:r>
        <w:rPr>
          <w:rFonts w:eastAsia="Batang"/>
        </w:rPr>
        <w:t>Ce midi, le directeur français M.Marques, parti à Paris renégocier les contrats de prestation avec EDF et GDF, est venu rendre compte aux salariés de l´échec de son voyage.</w:t>
      </w:r>
      <w:r w:rsidR="006F0FC1">
        <w:rPr>
          <w:rFonts w:eastAsia="Batang"/>
        </w:rPr>
        <w:t xml:space="preserve"> Nous sommes dans l`impasse.</w:t>
      </w:r>
    </w:p>
    <w:p w:rsidR="00B75FEC" w:rsidRPr="00B75FEC" w:rsidRDefault="00B75FEC">
      <w:pPr>
        <w:tabs>
          <w:tab w:val="left" w:pos="5655"/>
        </w:tabs>
        <w:spacing w:line="164" w:lineRule="atLeast"/>
        <w:jc w:val="both"/>
        <w:rPr>
          <w:rFonts w:eastAsia="Batang"/>
          <w:sz w:val="16"/>
          <w:szCs w:val="16"/>
        </w:rPr>
      </w:pPr>
    </w:p>
    <w:p w:rsidR="00000000" w:rsidRDefault="00B75FEC">
      <w:pPr>
        <w:tabs>
          <w:tab w:val="left" w:pos="5655"/>
        </w:tabs>
        <w:spacing w:line="164" w:lineRule="atLeast"/>
        <w:jc w:val="both"/>
        <w:rPr>
          <w:rFonts w:eastAsia="Batang"/>
        </w:rPr>
      </w:pPr>
      <w:r>
        <w:rPr>
          <w:rFonts w:eastAsia="Batang"/>
        </w:rPr>
        <w:t xml:space="preserve">Les salariés ont </w:t>
      </w:r>
      <w:r w:rsidR="006F0FC1">
        <w:rPr>
          <w:rFonts w:eastAsia="Batang"/>
        </w:rPr>
        <w:t xml:space="preserve">donc </w:t>
      </w:r>
      <w:r>
        <w:rPr>
          <w:rFonts w:eastAsia="Batang"/>
        </w:rPr>
        <w:t xml:space="preserve">décidé d´héberger </w:t>
      </w:r>
      <w:r w:rsidR="006F0FC1">
        <w:rPr>
          <w:rFonts w:eastAsia="Batang"/>
        </w:rPr>
        <w:t xml:space="preserve">à titre gracieux </w:t>
      </w:r>
      <w:r>
        <w:rPr>
          <w:rFonts w:eastAsia="Batang"/>
        </w:rPr>
        <w:t>M.Marques</w:t>
      </w:r>
      <w:r w:rsidR="006F0FC1">
        <w:rPr>
          <w:rFonts w:eastAsia="Batang"/>
        </w:rPr>
        <w:t>,</w:t>
      </w:r>
      <w:r>
        <w:rPr>
          <w:rFonts w:eastAsia="Batang"/>
        </w:rPr>
        <w:t xml:space="preserve"> en attendant qu´un responsable de ProCME vienne réellement </w:t>
      </w:r>
      <w:r w:rsidR="006F0FC1">
        <w:rPr>
          <w:rFonts w:eastAsia="Batang"/>
        </w:rPr>
        <w:t xml:space="preserve">négocier </w:t>
      </w:r>
      <w:r>
        <w:rPr>
          <w:rFonts w:eastAsia="Batang"/>
        </w:rPr>
        <w:t xml:space="preserve">avec les salariés en lutte. </w:t>
      </w:r>
      <w:r w:rsidR="00FA141A">
        <w:rPr>
          <w:rFonts w:eastAsia="Batang"/>
        </w:rPr>
        <w:t>Nous serons intraitables sur le paiement des jours pour lesquels le groupe ProCME aura sciemment organisé le chômage de ses salariés…</w:t>
      </w:r>
      <w:r>
        <w:rPr>
          <w:rFonts w:eastAsia="Batang"/>
        </w:rPr>
        <w:t xml:space="preserve">Nous attendons de l´Etat qu´il prenne ses responsabilités pleines et entières dans ce conflit. </w:t>
      </w:r>
    </w:p>
    <w:p w:rsidR="00000000" w:rsidRDefault="00FA141A">
      <w:pPr>
        <w:tabs>
          <w:tab w:val="left" w:pos="5655"/>
        </w:tabs>
        <w:spacing w:line="164" w:lineRule="atLeast"/>
        <w:jc w:val="both"/>
        <w:rPr>
          <w:rFonts w:eastAsia="Batang"/>
          <w:sz w:val="16"/>
          <w:szCs w:val="16"/>
        </w:rPr>
      </w:pPr>
    </w:p>
    <w:p w:rsidR="00B75FEC" w:rsidRPr="00B75FEC" w:rsidRDefault="00B75FEC">
      <w:pPr>
        <w:tabs>
          <w:tab w:val="left" w:pos="5655"/>
        </w:tabs>
        <w:spacing w:line="164" w:lineRule="atLeast"/>
        <w:jc w:val="both"/>
        <w:rPr>
          <w:rFonts w:eastAsia="Batang"/>
        </w:rPr>
      </w:pPr>
      <w:r w:rsidRPr="00B75FEC">
        <w:rPr>
          <w:rFonts w:eastAsia="Batang"/>
        </w:rPr>
        <w:t>Pour l´´Union Locale des syndicats CGT de Toulouse Sud et le syndicat local Construction Bois Ameublement de Haute Garonne</w:t>
      </w:r>
      <w:r>
        <w:rPr>
          <w:rFonts w:eastAsia="Batang"/>
        </w:rPr>
        <w:t>, Ludovic ARBERET</w:t>
      </w:r>
      <w:r w:rsidR="006F0FC1">
        <w:rPr>
          <w:rFonts w:eastAsia="Batang"/>
        </w:rPr>
        <w:t xml:space="preserve"> </w:t>
      </w:r>
    </w:p>
    <w:p w:rsidR="00B75FEC" w:rsidRPr="00B75FEC" w:rsidRDefault="00B75FEC">
      <w:pPr>
        <w:tabs>
          <w:tab w:val="left" w:pos="5655"/>
        </w:tabs>
        <w:spacing w:line="164" w:lineRule="atLeast"/>
        <w:jc w:val="both"/>
        <w:rPr>
          <w:rFonts w:eastAsia="Batang"/>
          <w:sz w:val="16"/>
          <w:szCs w:val="16"/>
        </w:rPr>
      </w:pPr>
    </w:p>
    <w:p w:rsidR="00000000" w:rsidRDefault="00FA141A">
      <w:pPr>
        <w:tabs>
          <w:tab w:val="left" w:pos="5655"/>
        </w:tabs>
        <w:spacing w:line="164" w:lineRule="atLeast"/>
        <w:jc w:val="both"/>
        <w:rPr>
          <w:rFonts w:eastAsia="Batang"/>
        </w:rPr>
      </w:pPr>
      <w:r>
        <w:rPr>
          <w:rFonts w:eastAsia="Batang"/>
        </w:rPr>
        <w:t>PS : vous trouverez ci-joint la proposition CGT d</w:t>
      </w:r>
      <w:r>
        <w:rPr>
          <w:rFonts w:eastAsia="Batang"/>
        </w:rPr>
        <w:t>e protocole de fin de conflit que nous aurions souhaité soumettre à l´approbation de M.Marques</w:t>
      </w:r>
      <w:r w:rsidR="00B75FEC">
        <w:rPr>
          <w:rFonts w:eastAsia="Batang"/>
        </w:rPr>
        <w:t xml:space="preserve"> vendredi dernier</w:t>
      </w:r>
    </w:p>
    <w:p w:rsidR="00B75FEC" w:rsidRDefault="00B75FEC">
      <w:pPr>
        <w:tabs>
          <w:tab w:val="left" w:pos="5655"/>
        </w:tabs>
        <w:spacing w:line="164" w:lineRule="atLeast"/>
        <w:jc w:val="both"/>
        <w:rPr>
          <w:rFonts w:eastAsia="Batang"/>
        </w:rPr>
      </w:pPr>
    </w:p>
    <w:p w:rsidR="00B75FEC" w:rsidRDefault="00B75FEC">
      <w:pPr>
        <w:tabs>
          <w:tab w:val="left" w:pos="5655"/>
        </w:tabs>
        <w:spacing w:line="164" w:lineRule="atLeast"/>
        <w:jc w:val="both"/>
        <w:rPr>
          <w:rFonts w:eastAsia="Batang"/>
        </w:rPr>
      </w:pPr>
    </w:p>
    <w:p w:rsidR="00000000" w:rsidRDefault="00FA141A">
      <w:pPr>
        <w:tabs>
          <w:tab w:val="left" w:pos="5655"/>
        </w:tabs>
        <w:spacing w:line="164" w:lineRule="atLeast"/>
        <w:jc w:val="both"/>
        <w:rPr>
          <w:rFonts w:eastAsia="Batang"/>
        </w:rPr>
      </w:pPr>
    </w:p>
    <w:p w:rsidR="00000000" w:rsidRDefault="00FA1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Protocole de fin de conflit  entre les parties Groupe ProcME en France </w:t>
      </w:r>
      <w:r>
        <w:rPr>
          <w:b/>
          <w:sz w:val="28"/>
          <w:szCs w:val="28"/>
        </w:rPr>
        <w:br/>
        <w:t>(ProCME, SGE, Innovtec, NGS et TDE),</w:t>
      </w:r>
      <w:r>
        <w:rPr>
          <w:b/>
          <w:sz w:val="28"/>
          <w:szCs w:val="28"/>
        </w:rPr>
        <w:br/>
        <w:t xml:space="preserve">le syndicat local CGT de la Construction de </w:t>
      </w:r>
      <w:r>
        <w:rPr>
          <w:b/>
          <w:sz w:val="28"/>
          <w:szCs w:val="28"/>
        </w:rPr>
        <w:t>Haute Garonne</w:t>
      </w:r>
      <w:r>
        <w:rPr>
          <w:b/>
          <w:sz w:val="28"/>
          <w:szCs w:val="28"/>
        </w:rPr>
        <w:br/>
        <w:t>la section syndicale CGT de l’U.E.S.</w:t>
      </w:r>
      <w:r>
        <w:rPr>
          <w:b/>
          <w:sz w:val="28"/>
          <w:szCs w:val="28"/>
        </w:rPr>
        <w:br/>
        <w:t>et l’Union Locale des syndicats CGT de Toulouse Sud</w:t>
      </w:r>
      <w:r>
        <w:rPr>
          <w:b/>
          <w:sz w:val="28"/>
          <w:szCs w:val="28"/>
        </w:rPr>
        <w:br/>
      </w:r>
    </w:p>
    <w:p w:rsidR="00000000" w:rsidRDefault="00FA141A">
      <w:pPr>
        <w:ind w:left="708"/>
        <w:jc w:val="both"/>
      </w:pPr>
      <w:r>
        <w:t>Suite au conflit social s’étant déroulé du lundi 30 janvier au jeudi 2 février au sein des entreprises ProCME, SGE, Innovtec, NGS et TDE, les parties pr</w:t>
      </w:r>
      <w:r>
        <w:t>ésentes s’accordent sur les points suivants :</w:t>
      </w:r>
    </w:p>
    <w:p w:rsidR="00000000" w:rsidRDefault="00FA141A">
      <w:pPr>
        <w:ind w:left="708"/>
        <w:jc w:val="both"/>
      </w:pPr>
    </w:p>
    <w:p w:rsidR="00000000" w:rsidRDefault="00FA141A">
      <w:pPr>
        <w:ind w:left="708"/>
        <w:jc w:val="both"/>
      </w:pPr>
      <w:r>
        <w:rPr>
          <w:b/>
        </w:rPr>
        <w:t xml:space="preserve">» </w:t>
      </w:r>
      <w:r>
        <w:t>les entreprises du groupe ProCME en France constituent une Unité économique et sociale (UES), ouvrant droit à la création d´un comité d´entreprise (L2322-4) ;</w:t>
      </w:r>
    </w:p>
    <w:p w:rsidR="00000000" w:rsidRDefault="00FA141A">
      <w:pPr>
        <w:ind w:left="708"/>
        <w:jc w:val="both"/>
      </w:pPr>
    </w:p>
    <w:p w:rsidR="00000000" w:rsidRDefault="00FA141A">
      <w:pPr>
        <w:ind w:left="708"/>
        <w:jc w:val="both"/>
      </w:pPr>
      <w:r>
        <w:rPr>
          <w:b/>
        </w:rPr>
        <w:t xml:space="preserve">» </w:t>
      </w:r>
      <w:r>
        <w:t xml:space="preserve"> il est entendu  que le courrier du 23 janvie</w:t>
      </w:r>
      <w:r>
        <w:t xml:space="preserve">r 2012 mettant fin aux retours au pays et à la prise en charge de l’hébergement était </w:t>
      </w:r>
      <w:r>
        <w:rPr>
          <w:i/>
        </w:rPr>
        <w:t>« annulé »</w:t>
      </w:r>
      <w:r>
        <w:t> ;</w:t>
      </w:r>
    </w:p>
    <w:p w:rsidR="00000000" w:rsidRDefault="00FA141A">
      <w:pPr>
        <w:ind w:left="708"/>
        <w:jc w:val="both"/>
      </w:pPr>
    </w:p>
    <w:p w:rsidR="00000000" w:rsidRDefault="00FA141A">
      <w:pPr>
        <w:ind w:left="708"/>
        <w:jc w:val="both"/>
      </w:pPr>
      <w:r>
        <w:t>» jusqu´au 2 mai 2012, les anciennes conditions de travail de l’entreprise ProCME France s’appliquent par conséquent toujours aux salariés ;</w:t>
      </w:r>
    </w:p>
    <w:p w:rsidR="00000000" w:rsidRDefault="00FA141A">
      <w:pPr>
        <w:ind w:left="708"/>
        <w:jc w:val="both"/>
      </w:pPr>
    </w:p>
    <w:p w:rsidR="00000000" w:rsidRDefault="00FA141A">
      <w:pPr>
        <w:ind w:left="708"/>
        <w:jc w:val="both"/>
      </w:pPr>
      <w:r>
        <w:rPr>
          <w:b/>
        </w:rPr>
        <w:t>»</w:t>
      </w:r>
      <w:r>
        <w:t xml:space="preserve">  de plus, le</w:t>
      </w:r>
      <w:r>
        <w:t xml:space="preserve"> retour au pays toutes les 5 semaines et le logement payé par l’employeur sont reconnus comme éléments constitutifs du contrat de travail de l’ensemble des salariés de ProCME France et des entreprises constitutives de l´UES nouvellement créée ;</w:t>
      </w:r>
    </w:p>
    <w:p w:rsidR="00000000" w:rsidRDefault="00FA141A">
      <w:pPr>
        <w:ind w:left="708"/>
        <w:jc w:val="both"/>
      </w:pPr>
    </w:p>
    <w:p w:rsidR="00000000" w:rsidRDefault="00FA141A">
      <w:pPr>
        <w:ind w:left="708"/>
        <w:jc w:val="both"/>
      </w:pPr>
      <w:r>
        <w:t>» des négo</w:t>
      </w:r>
      <w:r>
        <w:t>ciations sont dès aujourd´hui engagées entre les parties afin de définir les nouvelles règles de dialogue social, la mise en place des IRP (DP-CE) et les nouvelles conditions de travail consécutives au transfert des salariés aux nouvelles entreprises ainsi</w:t>
      </w:r>
      <w:r>
        <w:t xml:space="preserve"> qu´au contexte économique actuel;</w:t>
      </w:r>
    </w:p>
    <w:p w:rsidR="00000000" w:rsidRDefault="00FA141A">
      <w:pPr>
        <w:ind w:left="708"/>
        <w:jc w:val="both"/>
      </w:pPr>
    </w:p>
    <w:p w:rsidR="00000000" w:rsidRDefault="00FA141A">
      <w:pPr>
        <w:ind w:left="708"/>
        <w:jc w:val="both"/>
      </w:pPr>
      <w:r>
        <w:t>» au terme des négociations sur les conditions de transfert des salariés aux nouvelles entreprises (nouveaux horaires de travail, nouveaux délais pour rentrer au pays), les salariés refusant ces nouvelles conditions pour</w:t>
      </w:r>
      <w:r>
        <w:t>ront bénéficier d’un licenciement économique ;</w:t>
      </w:r>
    </w:p>
    <w:p w:rsidR="00000000" w:rsidRDefault="00FA141A">
      <w:pPr>
        <w:ind w:left="708"/>
        <w:jc w:val="both"/>
        <w:rPr>
          <w:b/>
        </w:rPr>
      </w:pPr>
    </w:p>
    <w:p w:rsidR="00000000" w:rsidRDefault="00FA141A">
      <w:pPr>
        <w:ind w:left="708"/>
        <w:jc w:val="both"/>
      </w:pPr>
      <w:r>
        <w:t>» dès le mercredi 8 février, les salariés qui le souhaiteront pourront rentrer au Portugal comme  spécifié en amont et ce jusqu´au lundi 13 février au soir ;</w:t>
      </w:r>
    </w:p>
    <w:p w:rsidR="00000000" w:rsidRDefault="00FA141A">
      <w:pPr>
        <w:ind w:left="708"/>
        <w:jc w:val="both"/>
      </w:pPr>
    </w:p>
    <w:p w:rsidR="00000000" w:rsidRDefault="00FA141A">
      <w:pPr>
        <w:ind w:left="708"/>
        <w:jc w:val="both"/>
      </w:pPr>
      <w:r>
        <w:t xml:space="preserve">» la moitié des jours de grève effectués par les </w:t>
      </w:r>
      <w:r>
        <w:t>salariés seront rémunérés comme jours de travail réellement effectués ;</w:t>
      </w:r>
    </w:p>
    <w:p w:rsidR="00000000" w:rsidRDefault="00FA141A">
      <w:pPr>
        <w:ind w:left="708"/>
        <w:jc w:val="both"/>
      </w:pPr>
    </w:p>
    <w:p w:rsidR="00000000" w:rsidRDefault="00FA141A">
      <w:pPr>
        <w:ind w:left="708"/>
        <w:jc w:val="both"/>
      </w:pPr>
      <w:r>
        <w:t>L´ensemble des points énoncés ci-dessus sont approuvés par les parties le 3 février au matin. Les salariés sont considérés comme ayant repris le travail le matin-même.</w:t>
      </w:r>
    </w:p>
    <w:p w:rsidR="00000000" w:rsidRDefault="00FA141A">
      <w:pPr>
        <w:ind w:left="708"/>
        <w:jc w:val="both"/>
      </w:pPr>
    </w:p>
    <w:p w:rsidR="00000000" w:rsidRDefault="00FA141A">
      <w:pPr>
        <w:ind w:left="708"/>
        <w:jc w:val="both"/>
      </w:pPr>
      <w:r>
        <w:t>A Ramonville-S</w:t>
      </w:r>
      <w:r>
        <w:t>aint-Agne, le vendredi 3 février 2012,</w:t>
      </w:r>
    </w:p>
    <w:p w:rsidR="00000000" w:rsidRDefault="00FA141A">
      <w:pPr>
        <w:ind w:left="708"/>
        <w:jc w:val="both"/>
      </w:pPr>
    </w:p>
    <w:p w:rsidR="00000000" w:rsidRDefault="00FA141A">
      <w:pPr>
        <w:jc w:val="both"/>
      </w:pPr>
      <w:r>
        <w:t xml:space="preserve">Pour la section syndicale CGT ~ ProCME, le délégué syndical </w:t>
      </w:r>
    </w:p>
    <w:p w:rsidR="00000000" w:rsidRDefault="00FA141A">
      <w:pPr>
        <w:jc w:val="both"/>
      </w:pPr>
    </w:p>
    <w:p w:rsidR="00000000" w:rsidRDefault="00FA141A">
      <w:pPr>
        <w:jc w:val="both"/>
        <w:rPr>
          <w:sz w:val="16"/>
          <w:szCs w:val="16"/>
        </w:rPr>
      </w:pPr>
    </w:p>
    <w:p w:rsidR="00000000" w:rsidRDefault="00FA141A">
      <w:pPr>
        <w:jc w:val="both"/>
      </w:pPr>
      <w:r>
        <w:t xml:space="preserve">Pour le syndicat local CGT Construction de Haute Garonne, </w:t>
      </w:r>
    </w:p>
    <w:p w:rsidR="00000000" w:rsidRDefault="00FA141A">
      <w:pPr>
        <w:jc w:val="both"/>
        <w:rPr>
          <w:sz w:val="16"/>
          <w:szCs w:val="16"/>
        </w:rPr>
      </w:pPr>
    </w:p>
    <w:p w:rsidR="00000000" w:rsidRDefault="00FA141A">
      <w:pPr>
        <w:jc w:val="both"/>
      </w:pPr>
    </w:p>
    <w:p w:rsidR="00000000" w:rsidRDefault="00FA141A">
      <w:pPr>
        <w:jc w:val="both"/>
      </w:pPr>
      <w:r>
        <w:t xml:space="preserve">Pour l´Union Locale des syndicats CGT de </w:t>
      </w:r>
      <w:r>
        <w:t>Toulouse, le Secrétaire Général, Ludovic Arberet</w:t>
      </w:r>
    </w:p>
    <w:p w:rsidR="00000000" w:rsidRDefault="00FA141A">
      <w:pPr>
        <w:jc w:val="both"/>
      </w:pPr>
    </w:p>
    <w:p w:rsidR="00000000" w:rsidRDefault="00FA141A">
      <w:pPr>
        <w:jc w:val="both"/>
      </w:pPr>
    </w:p>
    <w:p w:rsidR="00000000" w:rsidRDefault="00FA141A">
      <w:pPr>
        <w:jc w:val="both"/>
      </w:pPr>
      <w:r>
        <w:t>Pour l´UES ProCME France, M.Gabriel Marques, directeur de l´entreprise SGE, groupe ProCME</w:t>
      </w:r>
    </w:p>
    <w:p w:rsidR="00000000" w:rsidRDefault="00FA141A">
      <w:pPr>
        <w:tabs>
          <w:tab w:val="left" w:pos="5655"/>
        </w:tabs>
        <w:spacing w:line="164" w:lineRule="atLeast"/>
        <w:jc w:val="both"/>
        <w:rPr>
          <w:rFonts w:ascii="Arial" w:eastAsia="Batang" w:hAnsi="Arial" w:cs="Arial"/>
        </w:rPr>
      </w:pPr>
    </w:p>
    <w:p w:rsidR="00000000" w:rsidRDefault="00FA141A">
      <w:pPr>
        <w:tabs>
          <w:tab w:val="left" w:pos="5655"/>
        </w:tabs>
        <w:spacing w:line="164" w:lineRule="atLeast"/>
        <w:jc w:val="both"/>
        <w:rPr>
          <w:rFonts w:ascii="Arial" w:eastAsia="Batang" w:hAnsi="Arial" w:cs="Arial"/>
        </w:rPr>
      </w:pPr>
    </w:p>
    <w:p w:rsidR="00FA141A" w:rsidRDefault="00FA141A">
      <w:pPr>
        <w:tabs>
          <w:tab w:val="left" w:pos="5655"/>
        </w:tabs>
        <w:spacing w:line="164" w:lineRule="atLeast"/>
        <w:jc w:val="both"/>
        <w:rPr>
          <w:rFonts w:ascii="Arial" w:eastAsia="Batang" w:hAnsi="Arial" w:cs="Arial"/>
        </w:rPr>
      </w:pPr>
    </w:p>
    <w:sectPr w:rsidR="00FA141A">
      <w:pgSz w:w="11905" w:h="16837"/>
      <w:pgMar w:top="284" w:right="990" w:bottom="278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385AF1"/>
    <w:multiLevelType w:val="multilevel"/>
    <w:tmpl w:val="183E69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963C20"/>
    <w:multiLevelType w:val="hybridMultilevel"/>
    <w:tmpl w:val="9672165C"/>
    <w:lvl w:ilvl="0" w:tplc="040C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682B86"/>
    <w:multiLevelType w:val="hybridMultilevel"/>
    <w:tmpl w:val="183E6978"/>
    <w:lvl w:ilvl="0" w:tplc="040C000B">
      <w:start w:val="1"/>
      <w:numFmt w:val="bullet"/>
      <w:lvlText w:val=""/>
      <w:lvlJc w:val="left"/>
      <w:pPr>
        <w:tabs>
          <w:tab w:val="num" w:pos="6881"/>
        </w:tabs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601"/>
        </w:tabs>
        <w:ind w:left="76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8321"/>
        </w:tabs>
        <w:ind w:left="83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9041"/>
        </w:tabs>
        <w:ind w:left="90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9761"/>
        </w:tabs>
        <w:ind w:left="97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0481"/>
        </w:tabs>
        <w:ind w:left="104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1201"/>
        </w:tabs>
        <w:ind w:left="112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1921"/>
        </w:tabs>
        <w:ind w:left="119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2641"/>
        </w:tabs>
        <w:ind w:left="126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75FEC"/>
    <w:rsid w:val="006F0FC1"/>
    <w:rsid w:val="00B75FEC"/>
    <w:rsid w:val="00FA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  <w:iCs/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TimesNewRomanPS-BoldMT" w:hAnsi="TimesNewRomanPS-BoldMT"/>
      <w:b/>
      <w:bCs/>
      <w:sz w:val="22"/>
      <w:szCs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  <w:sz w:val="22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0" w:firstLine="708"/>
      <w:jc w:val="center"/>
      <w:outlineLvl w:val="5"/>
    </w:pPr>
    <w:rPr>
      <w:rFonts w:ascii="Arial Black" w:hAnsi="Arial Black"/>
      <w:b/>
      <w:bCs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  <w:szCs w:val="28"/>
      <w:lang w:val="de-D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Copperplate Gothic Bold" w:hAnsi="Copperplate Gothic Bold"/>
      <w:b/>
      <w:sz w:val="36"/>
      <w:szCs w:val="32"/>
    </w:rPr>
  </w:style>
  <w:style w:type="paragraph" w:styleId="Ttulo9">
    <w:name w:val="heading 9"/>
    <w:basedOn w:val="Normal"/>
    <w:next w:val="Normal"/>
    <w:qFormat/>
    <w:pPr>
      <w:keepNext/>
      <w:tabs>
        <w:tab w:val="left" w:pos="5655"/>
      </w:tabs>
      <w:spacing w:line="164" w:lineRule="atLeast"/>
      <w:jc w:val="center"/>
      <w:outlineLvl w:val="8"/>
    </w:pPr>
    <w:rPr>
      <w:rFonts w:eastAsia="Batang"/>
      <w:sz w:val="32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Policepardfaut2">
    <w:name w:val="Police par défaut2"/>
  </w:style>
  <w:style w:type="character" w:styleId="Hiperligao">
    <w:name w:val="Hyperlink"/>
    <w:basedOn w:val="Policepardfaut2"/>
    <w:semiHidden/>
    <w:rPr>
      <w:color w:val="0000FF"/>
      <w:u w:val="single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tabs>
        <w:tab w:val="left" w:pos="8100"/>
      </w:tabs>
      <w:jc w:val="both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fr-FR" w:eastAsia="ar-SA"/>
    </w:rPr>
  </w:style>
  <w:style w:type="paragraph" w:customStyle="1" w:styleId="Corpsdetexte21">
    <w:name w:val="Corps de texte 21"/>
    <w:basedOn w:val="Normal"/>
    <w:pPr>
      <w:jc w:val="both"/>
    </w:pPr>
    <w:rPr>
      <w:rFonts w:ascii="Arial Narrow" w:hAnsi="Arial Narrow"/>
      <w:b/>
      <w:bCs/>
      <w:i/>
      <w:iCs/>
      <w:sz w:val="18"/>
    </w:rPr>
  </w:style>
  <w:style w:type="paragraph" w:styleId="Avanodecorpodetexto">
    <w:name w:val="Body Text Indent"/>
    <w:basedOn w:val="Normal"/>
    <w:semiHidden/>
    <w:pPr>
      <w:ind w:firstLine="426"/>
      <w:jc w:val="both"/>
    </w:pPr>
    <w:rPr>
      <w:rFonts w:ascii="Arial Narrow" w:hAnsi="Arial Narrow"/>
      <w:b/>
      <w:bCs/>
      <w:i/>
      <w:iCs/>
      <w:sz w:val="18"/>
    </w:rPr>
  </w:style>
  <w:style w:type="paragraph" w:customStyle="1" w:styleId="Corpsdetexte31">
    <w:name w:val="Corps de texte 31"/>
    <w:basedOn w:val="Normal"/>
    <w:rPr>
      <w:rFonts w:ascii="TimesNewRomanPS-BoldMT" w:hAnsi="TimesNewRomanPS-BoldMT"/>
      <w:sz w:val="22"/>
    </w:rPr>
  </w:style>
  <w:style w:type="paragraph" w:customStyle="1" w:styleId="Retraitcorpsdetexte21">
    <w:name w:val="Retrait corps de texte 21"/>
    <w:basedOn w:val="Normal"/>
    <w:pPr>
      <w:ind w:left="-142"/>
      <w:jc w:val="both"/>
    </w:pPr>
    <w:rPr>
      <w:sz w:val="22"/>
    </w:rPr>
  </w:style>
  <w:style w:type="paragraph" w:customStyle="1" w:styleId="Retraitcorpsdetexte31">
    <w:name w:val="Retrait corps de texte 31"/>
    <w:basedOn w:val="Normal"/>
    <w:pPr>
      <w:ind w:firstLine="708"/>
      <w:jc w:val="both"/>
    </w:pPr>
    <w:rPr>
      <w:sz w:val="20"/>
      <w:szCs w:val="20"/>
    </w:rPr>
  </w:style>
  <w:style w:type="paragraph" w:styleId="NormalWeb">
    <w:name w:val="Normal (Web)"/>
    <w:basedOn w:val="Normal"/>
    <w:semiHidden/>
    <w:pPr>
      <w:spacing w:before="100" w:after="100"/>
    </w:pPr>
  </w:style>
  <w:style w:type="paragraph" w:customStyle="1" w:styleId="Contenuducadre">
    <w:name w:val="Contenu du cadre"/>
    <w:basedOn w:val="Corpodetex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920</Words>
  <Characters>4972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HP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joao campos</cp:lastModifiedBy>
  <cp:revision>2</cp:revision>
  <cp:lastPrinted>2009-12-15T15:47:00Z</cp:lastPrinted>
  <dcterms:created xsi:type="dcterms:W3CDTF">2012-02-08T12:28:00Z</dcterms:created>
  <dcterms:modified xsi:type="dcterms:W3CDTF">2012-02-08T12:28:00Z</dcterms:modified>
</cp:coreProperties>
</file>